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PRIVATE AND STATE OPERATED SCHOOLS</w:t>
      </w:r>
    </w:p>
    <w:p>
      <w:pPr>
        <w:jc w:val="both"/>
        <w:spacing w:before="100" w:after="100"/>
        <w:ind w:start="1080" w:hanging="720"/>
      </w:pPr>
      <w:r>
        <w:rPr>
          <w:b/>
        </w:rPr>
        <w:t>§</w:t>
        <w:t>7501</w:t>
        <w:t xml:space="preserve">.  </w:t>
      </w:r>
      <w:r>
        <w:rPr>
          <w:b/>
        </w:rPr>
        <w:t xml:space="preserve">Private schools</w:t>
      </w:r>
    </w:p>
    <w:p>
      <w:pPr>
        <w:jc w:val="both"/>
        <w:spacing w:before="100" w:after="100"/>
        <w:ind w:start="360"/>
        <w:ind w:firstLine="360"/>
      </w:pPr>
      <w:r>
        <w:rPr/>
      </w:r>
      <w:r>
        <w:rPr/>
      </w:r>
      <w:r>
        <w:t xml:space="preserve">The commissioner may require that special education programs in an approved private school or agency receiving state funds comply with rules for the conduct of programs within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7502</w:t>
        <w:t xml:space="preserve">.  </w:t>
      </w:r>
      <w:r>
        <w:rPr>
          <w:b/>
        </w:rPr>
        <w:t xml:space="preserve">State institutions</w:t>
      </w:r>
    </w:p>
    <w:p>
      <w:pPr>
        <w:jc w:val="both"/>
        <w:spacing w:before="100" w:after="100"/>
        <w:ind w:start="360"/>
        <w:ind w:firstLine="360"/>
      </w:pPr>
      <w:r>
        <w:rPr/>
      </w:r>
      <w:r>
        <w:rPr/>
      </w:r>
      <w:r>
        <w:t xml:space="preserve">The director of a state institution shall apply to the superintendent of the school administrative unit in which the institution is located, or in any adjoining unit, for children in the institution to attend that unit's schools.  These children with disabilities are entitled to attend under the same conditions as apply to students residing in the school administrative unit and under the rules of the department relating to special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655, §6 (AMD). PL 2005, c. 662, §A36 (AMD). </w:t>
      </w:r>
    </w:p>
    <w:p>
      <w:pPr>
        <w:jc w:val="both"/>
        <w:spacing w:before="100" w:after="100"/>
        <w:ind w:start="1080" w:hanging="720"/>
      </w:pPr>
      <w:r>
        <w:rPr>
          <w:b/>
        </w:rPr>
        <w:t>§</w:t>
        <w:t>7503</w:t>
        <w:t xml:space="preserve">.  </w:t>
      </w:r>
      <w:r>
        <w:rPr>
          <w:b/>
        </w:rPr>
        <w:t xml:space="preserve">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316, §2 (AMD). PL 1983, c. 485, §25 (AMD). PL 1985, c. 295, §30 (AMD). PL 1985, c. 785, §B80 (AMD). PL 1987, c. 395, §A77 (AMD). PL 1995, c. 676, §6 (RP). PL 1995, c. 676, §13 (AFF). </w:t>
      </w:r>
    </w:p>
    <w:p>
      <w:pPr>
        <w:jc w:val="both"/>
        <w:spacing w:before="100" w:after="100"/>
        <w:ind w:start="1080" w:hanging="720"/>
      </w:pPr>
      <w:r>
        <w:rPr>
          <w:b/>
        </w:rPr>
        <w:t>§</w:t>
        <w:t>7504</w:t>
        <w:t xml:space="preserve">.  </w:t>
      </w:r>
      <w:r>
        <w:rPr>
          <w:b/>
        </w:rPr>
        <w:t xml:space="preserve">Residential child care facilities</w:t>
      </w:r>
    </w:p>
    <w:p>
      <w:pPr>
        <w:jc w:val="both"/>
        <w:spacing w:before="100" w:after="100"/>
        <w:ind w:start="360"/>
        <w:ind w:firstLine="360"/>
      </w:pPr>
      <w:r>
        <w:rPr/>
      </w:r>
      <w:r>
        <w:rPr/>
      </w:r>
      <w:r>
        <w:t xml:space="preserve">"Residential child care facilities" shall be licensed in accordance with </w:t>
      </w:r>
      <w:r>
        <w:t>Title 22, section 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PRIVATE AND STATE OPERATED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PRIVATE AND STATE OPERATED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305. PRIVATE AND STATE OPERATED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