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9702</w:t>
        <w:t xml:space="preserve">.  </w:t>
      </w:r>
      <w:r>
        <w:rPr>
          <w:b/>
        </w:rPr>
        <w:t xml:space="preserve">Program responsibility</w:t>
      </w:r>
    </w:p>
    <w:p>
      <w:pPr>
        <w:jc w:val="both"/>
        <w:spacing w:before="100" w:after="100"/>
        <w:ind w:start="360"/>
        <w:ind w:firstLine="360"/>
      </w:pPr>
      <w:r>
        <w:rPr/>
      </w:r>
      <w:r>
        <w:rPr/>
      </w:r>
      <w:r>
        <w:t xml:space="preserve">A school administrative unit in which a licensed drug treatment center is located or a nearby school administrative unit shall provide an educational program, as prescribed by the commissioner, for each eligible student residing in the center, notwithstanding the student's legal residence within the State.  The selection of the school administrative unit to provide that program shall be made by the commissioner pursuant to rules adopted in accordance with the Maine Administrative Procedure Act, </w:t>
      </w:r>
      <w:r>
        <w:t>Title 5, chapter 375</w:t>
      </w:r>
      <w:r>
        <w:t xml:space="preserve">.  The rules shall take into account the educational needs of students, the ability of a school administrative unit to meet those needs, the proximity of school administrative units to the facility, the expressed wishes of officials representing school administrative units and other appropriate considerations.  The decision of the commissioner may be appealed to the State Board of Education.  The decision of the board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§9702. Program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§9702. Program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§9702. PROGRAM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