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9503</w:t>
        <w:t xml:space="preserve">.  </w:t>
      </w:r>
      <w:r>
        <w:rPr>
          <w:b/>
        </w:rPr>
        <w:t xml:space="preserve">Penalties</w:t>
      </w:r>
    </w:p>
    <w:p>
      <w:pPr>
        <w:jc w:val="both"/>
        <w:spacing w:before="100" w:after="0"/>
        <w:ind w:start="360"/>
        <w:ind w:firstLine="360"/>
      </w:pPr>
      <w:r>
        <w:rPr>
          <w:b/>
        </w:rPr>
        <w:t>1</w:t>
        <w:t xml:space="preserve">.  </w:t>
      </w:r>
      <w:r>
        <w:rPr>
          <w:b/>
        </w:rPr>
        <w:t xml:space="preserve">Fines.</w:t>
        <w:t xml:space="preserve"> </w:t>
      </w:r>
      <w:r>
        <w:t xml:space="preserve"> </w:t>
      </w:r>
      <w:r>
        <w:t xml:space="preserve">Any person, who operates or maintains a proprietary school in violation of this chapter, or represents itself as operating and maintaining such a school, is subject to a civil penalty of not more than $5,000, payable to the State, to be recovered in a civil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§4 (NEW).]</w:t>
      </w:r>
    </w:p>
    <w:p>
      <w:pPr>
        <w:jc w:val="both"/>
        <w:spacing w:before="100" w:after="0"/>
        <w:ind w:start="360"/>
        <w:ind w:firstLine="360"/>
      </w:pPr>
      <w:r>
        <w:rPr>
          <w:b/>
        </w:rPr>
        <w:t>2</w:t>
        <w:t xml:space="preserve">.  </w:t>
      </w:r>
      <w:r>
        <w:rPr>
          <w:b/>
        </w:rPr>
        <w:t xml:space="preserve">Enforcement actions.</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  A violation of the provisions of this chapter or any rules adopted under this chapter is prima facie evidence of a violation of the Maine Unfair Trade Practices Act.  Responsible owners, officers and employees of licensees are personally liable to any person harmed by intentional violations of this chapter or applicable rules, including violations of rules regarding refunds, for the amount of damage caused by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§4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841, §4 (RPR). PL 1997, c. 771, §4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