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7255</w:t>
        <w:t xml:space="preserve">.  </w:t>
      </w:r>
      <w:r>
        <w:rPr>
          <w:b/>
        </w:rPr>
        <w:t xml:space="preserve">Other programs</w:t>
      </w:r>
    </w:p>
    <w:p>
      <w:pPr>
        <w:jc w:val="both"/>
        <w:spacing w:before="100" w:after="100"/>
        <w:ind w:start="360"/>
        <w:ind w:firstLine="360"/>
      </w:pPr>
      <w:r>
        <w:rPr/>
      </w:r>
      <w:r>
        <w:rPr/>
      </w:r>
      <w:r>
        <w:t xml:space="preserve">In addition to, or in place of, those methods listed in this chapter, a school administrative unit may make other provisions, subject to approval in advance by the commissioner, to ensure the education of all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2005, c. 662,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§7255. Other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§7255. Other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§7255. OTHER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