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7254</w:t>
        <w:t xml:space="preserve">.  </w:t>
      </w:r>
      <w:r>
        <w:rPr>
          <w:b/>
        </w:rPr>
        <w:t xml:space="preserve">Contractual programs for nonresident children</w:t>
      </w:r>
    </w:p>
    <w:p>
      <w:pPr>
        <w:jc w:val="both"/>
        <w:spacing w:before="100" w:after="100"/>
        <w:ind w:start="360"/>
        <w:ind w:firstLine="360"/>
      </w:pPr>
      <w:r>
        <w:rPr/>
      </w:r>
      <w:r>
        <w:rPr/>
      </w:r>
      <w:r>
        <w:t xml:space="preserve">Another state, subdivision or private person, firm or agency may contract with a private school in this State to provide special education for children who are not residents of this State.  A program for these nonresident children shall be subject to approval by the commissioner only with respect to the requirements of </w:t>
      </w:r>
      <w:r>
        <w:t>section 7204,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§7254. Contractual programs for nonresident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§7254. Contractual programs for nonresident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§7254. CONTRACTUAL PROGRAMS FOR NONRESIDENT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