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Review and assistance</w:t>
      </w:r>
    </w:p>
    <w:p>
      <w:pPr>
        <w:jc w:val="both"/>
        <w:spacing w:before="100" w:after="100"/>
        <w:ind w:start="360"/>
        <w:ind w:firstLine="360"/>
      </w:pPr>
      <w:r>
        <w:rPr/>
      </w:r>
      <w:r>
        <w:rPr/>
      </w:r>
      <w:r>
        <w:t xml:space="preserve">It is the intent of the Legislature that a representative of the commissioner visit special education programs for the purpose of review and assistance and as necessary to comply with federal general supervision requirements. Nothing in this section prohibits a school administrative unit from requesting that a representative of the commissioner visit a particular special education program for the purpose of review and assistance whenever necessary. The commissioner shall comply with each request in a timely fashion.</w:t>
      </w:r>
      <w:r>
        <w:t xml:space="preserve">  </w:t>
      </w:r>
      <w:r xmlns:wp="http://schemas.openxmlformats.org/drawingml/2010/wordprocessingDrawing" xmlns:w15="http://schemas.microsoft.com/office/word/2012/wordml">
        <w:rPr>
          <w:rFonts w:ascii="Arial" w:hAnsi="Arial" w:cs="Arial"/>
          <w:sz w:val="22"/>
          <w:szCs w:val="22"/>
        </w:rPr>
        <w:t xml:space="preserve">[PL 2009, c. 508,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§A72 (AMD). PL 2009, c. 508,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§7205. Review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Review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§7205. REVIEW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