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6631</w:t>
        <w:t xml:space="preserve">.  </w:t>
      </w:r>
      <w:r>
        <w:rPr>
          <w:b/>
        </w:rPr>
        <w:t xml:space="preserve">Obesity and Chronic Disease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Obesity and Chronic Disease Fund, referred to in this section as "the fund," is established as an interest-bearing account administered by the department and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108, §1 (AMD).]</w:t>
      </w:r>
    </w:p>
    <w:p>
      <w:pPr>
        <w:jc w:val="both"/>
        <w:spacing w:before="100" w:after="0"/>
        <w:ind w:start="360"/>
        <w:ind w:firstLine="360"/>
      </w:pPr>
      <w:r>
        <w:rPr>
          <w:b/>
        </w:rPr>
        <w:t>2</w:t>
        <w:t xml:space="preserve">.  </w:t>
      </w:r>
      <w:r>
        <w:rPr>
          <w:b/>
        </w:rPr>
        <w:t xml:space="preserve">Revenue.</w:t>
        <w:t xml:space="preserve"> </w:t>
      </w:r>
      <w:r>
        <w:t xml:space="preserve"> </w:t>
      </w:r>
      <w:r>
        <w:t xml:space="preserve">Any private or public funds appropriated, allocated or dedicated to the fund must be deposited into the fund as well as income from any other source directed to the fund. All interest earned by the fund becomes part of the fund. Any balance remaining in the fund at the end of the fiscal year does not lapse but is carried forward into subsequent fiscal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264, §1 (NEW).]</w:t>
      </w:r>
    </w:p>
    <w:p>
      <w:pPr>
        <w:jc w:val="both"/>
        <w:spacing w:before="100" w:after="0"/>
        <w:ind w:start="360"/>
        <w:ind w:firstLine="360"/>
      </w:pPr>
      <w:r>
        <w:rPr>
          <w:b/>
        </w:rPr>
        <w:t>3</w:t>
        <w:t xml:space="preserve">.  </w:t>
      </w:r>
      <w:r>
        <w:rPr>
          <w:b/>
        </w:rPr>
        <w:t xml:space="preserve">Use of fund; health and physical fitness.</w:t>
        <w:t xml:space="preserve"> </w:t>
      </w:r>
      <w:r>
        <w:t xml:space="preserve"> </w:t>
      </w:r>
      <w:r>
        <w:t xml:space="preserve">Balances in the fund may be used for the necessary expenses of the department and the Department of Health and Human Services in the administration of the fund.  Balances in the fund may be used to pay for new equipment, new staff training, new personnel, new administrative costs and other expenses not related to an existing physical education program and for the implementation of a new physical education program for elementary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264, §1 (NEW). PL 2011, c. 108,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§6631. Obesity and Chronic Disease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§6631. Obesity and Chronic Disease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§6631. OBESITY AND CHRONIC DISEASE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