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6552</w:t>
        <w:t xml:space="preserve">.  </w:t>
      </w:r>
      <w:r>
        <w:rPr>
          <w:b/>
        </w:rPr>
        <w:t xml:space="preserve">Firearms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possess a firearm on public school property or the property of an approved private school or discharge a firearm within 500 feet of public school property or the property of an approved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provisions under </w:t>
      </w:r>
      <w:r>
        <w:t>subsection 1</w:t>
      </w:r>
      <w:r>
        <w:t xml:space="preserve"> do not apply to the following.</w:t>
      </w:r>
    </w:p>
    <w:p>
      <w:pPr>
        <w:jc w:val="both"/>
        <w:spacing w:before="100" w:after="0"/>
        <w:ind w:start="720"/>
      </w:pPr>
      <w:r>
        <w:rPr/>
        <w:t>A</w:t>
        <w:t xml:space="preserve">.  </w:t>
      </w:r>
      <w:r>
        <w:rPr/>
      </w:r>
      <w:r>
        <w:t xml:space="preserve">The prohibition on the possession and discharge of a firearm does not apply to law enforcement officials.</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B</w:t>
        <w:t xml:space="preserve">.  </w:t>
      </w:r>
      <w:r>
        <w:rPr/>
      </w:r>
      <w:r>
        <w:t xml:space="preserve">The prohibition on the possession of a firearm does not apply to the following persons, if the possession is authorized by a written policy adopted by the school board:</w:t>
      </w:r>
    </w:p>
    <w:p>
      <w:pPr>
        <w:jc w:val="both"/>
        <w:spacing w:before="100" w:after="0"/>
        <w:ind w:start="1080"/>
      </w:pPr>
      <w:r>
        <w:rPr/>
        <w:t>(</w:t>
        <w:t>1</w:t>
        <w:t xml:space="preserve">)  </w:t>
      </w:r>
      <w:r>
        <w:rPr/>
      </w:r>
      <w:r>
        <w:t xml:space="preserve">A person who possesses an unloaded firearm for use in a supervised educational program approved and authorized by the school board and for which the school board has adopted appropriate safeguards to ensure student safety; and</w:t>
      </w:r>
    </w:p>
    <w:p>
      <w:pPr>
        <w:jc w:val="both"/>
        <w:spacing w:before="100" w:after="0"/>
        <w:ind w:start="1080"/>
      </w:pPr>
      <w:r>
        <w:rPr/>
        <w:t>(</w:t>
        <w:t>2</w:t>
        <w:t xml:space="preserve">)  </w:t>
      </w:r>
      <w:r>
        <w:rPr/>
      </w:r>
      <w:r>
        <w:t xml:space="preserve">A person who possesses an unloaded firearm that is stored inside a locked vehicle in a closed container, a zipped case or a locked firearms rack while the person is attending a hunter's breakfast or similar event that:</w:t>
      </w:r>
    </w:p>
    <w:p>
      <w:pPr>
        <w:jc w:val="both"/>
        <w:spacing w:before="100" w:after="0"/>
        <w:ind w:start="1440"/>
      </w:pPr>
      <w:r>
        <w:rPr/>
        <w:t>(</w:t>
        <w:t>a</w:t>
        <w:t xml:space="preserve">)  </w:t>
      </w:r>
      <w:r>
        <w:rPr/>
      </w:r>
      <w:r>
        <w:t xml:space="preserve">Is held during an open firearm season established under </w:t>
      </w:r>
      <w:r>
        <w:t>Title 12, Part 13</w:t>
      </w:r>
      <w:r>
        <w:t xml:space="preserve"> for any species of wild bird or wild animal;</w:t>
      </w:r>
    </w:p>
    <w:p>
      <w:pPr>
        <w:jc w:val="both"/>
        <w:spacing w:before="100" w:after="0"/>
        <w:ind w:start="1440"/>
      </w:pPr>
      <w:r>
        <w:rPr/>
        <w:t>(</w:t>
        <w:t>b</w:t>
        <w:t xml:space="preserve">)  </w:t>
      </w:r>
      <w:r>
        <w:rPr/>
      </w:r>
      <w:r>
        <w:t xml:space="preserve">Takes place outside of regular school hours; and</w:t>
      </w:r>
    </w:p>
    <w:p>
      <w:pPr>
        <w:jc w:val="both"/>
        <w:spacing w:before="100" w:after="0"/>
        <w:ind w:start="1440"/>
      </w:pPr>
      <w:r>
        <w:rPr/>
        <w:t>(</w:t>
        <w:t>c</w:t>
        <w:t xml:space="preserve">)  </w:t>
      </w:r>
      <w:r>
        <w:rPr/>
      </w:r>
      <w:r>
        <w:t xml:space="preserve">Is authorized by the school board.</w:t>
      </w:r>
      <w:r>
        <w:t xml:space="preserve">  </w:t>
      </w:r>
      <w:r xmlns:wp="http://schemas.openxmlformats.org/drawingml/2010/wordprocessingDrawing" xmlns:w15="http://schemas.microsoft.com/office/word/2012/wordml">
        <w:rPr>
          <w:rFonts w:ascii="Arial" w:hAnsi="Arial" w:cs="Arial"/>
          <w:sz w:val="22"/>
          <w:szCs w:val="22"/>
        </w:rPr>
        <w:t xml:space="preserve">[PL 2009, c. 614, §3 (RPR).]</w:t>
      </w:r>
    </w:p>
    <w:p>
      <w:pPr>
        <w:jc w:val="both"/>
        <w:spacing w:before="100" w:after="0"/>
        <w:ind w:start="720"/>
      </w:pPr>
      <w:r>
        <w:rPr/>
        <w:t>C</w:t>
        <w:t xml:space="preserve">.  </w:t>
      </w:r>
      <w:r>
        <w:rPr/>
      </w:r>
      <w:r>
        <w:t xml:space="preserve">The prohibition on possession and discharge of a firearm does not apply to a person possessing a firearm at a school-operated gun range or a person discharging a firearm as part of a school-sanctioned program at a school-operated gun range if the gun range and the program are authorized by a written policy adopted by the school's governing body.</w:t>
      </w:r>
      <w:r>
        <w:t xml:space="preserve">  </w:t>
      </w:r>
      <w:r xmlns:wp="http://schemas.openxmlformats.org/drawingml/2010/wordprocessingDrawing" xmlns:w15="http://schemas.microsoft.com/office/word/2012/wordml">
        <w:rPr>
          <w:rFonts w:ascii="Arial" w:hAnsi="Arial" w:cs="Arial"/>
          <w:sz w:val="22"/>
          <w:szCs w:val="22"/>
        </w:rPr>
        <w:t xml:space="preserve">[PL 2009, c. 614,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614, §3 (RPR).]</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414, §13 (AMD). PL 2007, c. 67, §1 (AMD). PL 2009, c. 614,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§6552.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§6552.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§6552.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