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§6202. State assessment program established;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State assessment program established;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 STATE ASSESSMENT PROGRAM ESTABLISHED;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