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5152</w:t>
        <w:t xml:space="preserve">.  </w:t>
      </w:r>
      <w:r>
        <w:rPr>
          <w:b/>
        </w:rPr>
        <w:t xml:space="preserve">Advisory committee</w:t>
      </w:r>
    </w:p>
    <w:p>
      <w:pPr>
        <w:jc w:val="both"/>
        <w:spacing w:before="100" w:after="0"/>
        <w:ind w:start="360"/>
        <w:ind w:firstLine="360"/>
      </w:pPr>
      <w:r>
        <w:rPr>
          <w:b/>
        </w:rPr>
        <w:t>1</w:t>
        <w:t xml:space="preserve">.  </w:t>
      </w:r>
      <w:r>
        <w:rPr>
          <w:b/>
        </w:rPr>
        <w:t xml:space="preserve">Commissioner.</w:t>
        <w:t xml:space="preserve"> </w:t>
      </w:r>
      <w:r>
        <w:t xml:space="preserve"> </w:t>
      </w:r>
      <w:r>
        <w:t xml:space="preserve">The commissioner shall appoint an advisory committee on truancy, dropouts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2</w:t>
        <w:t xml:space="preserve">.  </w:t>
      </w:r>
      <w:r>
        <w:rPr>
          <w:b/>
        </w:rPr>
        <w:t xml:space="preserve">Duties of the advisory committee, as appointed by the commissioner.</w:t>
        <w:t xml:space="preserve"> </w:t>
      </w:r>
      <w:r>
        <w:t xml:space="preserve"> </w:t>
      </w:r>
      <w:r>
        <w:t xml:space="preserve">The advisory committee shall advise the commissioner on the development and implementation of state and local policies and programs that are needed to deal effectively with the incidence of truancy and dropouts in state schools.  The committee should consider its mandate in a broad context to assess the causes of truancy and dropouts, the effectiveness of alternative education and prevention programs and the social and educational programs or changes needed to encourage students to remain in school, including reintegration planning and aftercare services provided for juvenile offenders who have been released from juvenile facilities in the State and have enrolled in schools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§10 (AMD).]</w:t>
      </w:r>
    </w:p>
    <w:p>
      <w:pPr>
        <w:jc w:val="both"/>
        <w:spacing w:before="100" w:after="100"/>
        <w:ind w:start="360"/>
        <w:ind w:firstLine="360"/>
      </w:pPr>
      <w:r>
        <w:rPr>
          <w:b/>
        </w:rPr>
        <w:t>3</w:t>
        <w:t xml:space="preserve">.  </w:t>
      </w:r>
      <w:r>
        <w:rPr>
          <w:b/>
        </w:rPr>
        <w:t xml:space="preserve">Membership.</w:t>
        <w:t xml:space="preserve"> </w:t>
      </w:r>
      <w:r>
        <w:t xml:space="preserve"> </w:t>
      </w:r>
      <w:r>
        <w:t xml:space="preserve">The advisory committee must have a broad membership reflecting the range of individuals and public and private institutions that are involved or interested in the problem and its solution.  It must include representation from each of the following:</w:t>
      </w:r>
    </w:p>
    <w:p>
      <w:pPr>
        <w:jc w:val="both"/>
        <w:spacing w:before="100" w:after="0"/>
        <w:ind w:start="720"/>
      </w:pPr>
      <w:r>
        <w:rPr/>
        <w:t>A</w:t>
        <w:t xml:space="preserve">.  </w:t>
      </w:r>
      <w:r>
        <w:rPr/>
      </w:r>
      <w:r>
        <w:t xml:space="preserve">Teachers;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B</w:t>
        <w:t xml:space="preserve">.  </w:t>
      </w:r>
      <w:r>
        <w:rPr/>
      </w:r>
      <w:r>
        <w:t xml:space="preserve">Elementary school principals;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C</w:t>
        <w:t xml:space="preserve">.  </w:t>
      </w:r>
      <w:r>
        <w:rPr/>
      </w:r>
      <w:r>
        <w:t xml:space="preserve">Secondary school principals;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D</w:t>
        <w:t xml:space="preserve">.  </w:t>
      </w:r>
      <w:r>
        <w:rPr/>
      </w:r>
      <w:r>
        <w:t xml:space="preserve">Guidance counselors;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E</w:t>
        <w:t xml:space="preserve">.  </w:t>
      </w:r>
      <w:r>
        <w:rPr/>
      </w:r>
      <w:r>
        <w:t xml:space="preserve">Adult education teachers with experience in high school completion education;</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F</w:t>
        <w:t xml:space="preserve">.  </w:t>
      </w:r>
      <w:r>
        <w:rPr/>
      </w:r>
      <w:r>
        <w:t xml:space="preserve">Superintendents;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G</w:t>
        <w:t xml:space="preserve">.  </w:t>
      </w:r>
      <w:r>
        <w:rPr/>
      </w:r>
      <w:r>
        <w:t xml:space="preserve">Administrators from private schools involved in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§11 (AMD).]</w:t>
      </w:r>
    </w:p>
    <w:p>
      <w:pPr>
        <w:jc w:val="both"/>
        <w:spacing w:before="100" w:after="0"/>
        <w:ind w:start="720"/>
      </w:pPr>
      <w:r>
        <w:rPr/>
        <w:t>H</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397, Pt. A, §15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§16 (RP).]</w:t>
      </w:r>
    </w:p>
    <w:p>
      <w:pPr>
        <w:jc w:val="both"/>
        <w:spacing w:before="100" w:after="0"/>
        <w:ind w:start="720"/>
      </w:pPr>
      <w:r>
        <w:rPr/>
        <w:t>J</w:t>
        <w:t xml:space="preserve">.  </w:t>
      </w:r>
      <w:r>
        <w:rPr/>
      </w:r>
      <w:r>
        <w:t xml:space="preserve">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K</w:t>
        <w:t xml:space="preserve">.  </w:t>
      </w:r>
      <w:r>
        <w:rPr/>
      </w:r>
      <w:r>
        <w:t xml:space="preserve">Department of Labor;</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L</w:t>
        <w:t xml:space="preserve">.  </w:t>
      </w:r>
      <w:r>
        <w:rPr/>
      </w:r>
      <w:r>
        <w:t xml:space="preserve">A local positive action committee on truancy, dropout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§11 (AMD).]</w:t>
      </w:r>
    </w:p>
    <w:p>
      <w:pPr>
        <w:jc w:val="both"/>
        <w:spacing w:before="100" w:after="0"/>
        <w:ind w:start="720"/>
      </w:pPr>
      <w:r>
        <w:rPr/>
        <w:t>M</w:t>
        <w:t xml:space="preserve">.  </w:t>
      </w:r>
      <w:r>
        <w:rPr/>
      </w:r>
      <w:r>
        <w:t xml:space="preserve">Representatives from the business community; and</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N</w:t>
        <w:t xml:space="preserve">.  </w:t>
      </w:r>
      <w:r>
        <w:rPr/>
      </w:r>
      <w:r>
        <w:t xml:space="preserve">Other individuals who the commissioner feels will contribute to the development of effective policies and programs.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360"/>
      </w:pPr>
      <w:r>
        <w:rPr/>
      </w:r>
      <w:r>
        <w:rPr/>
      </w:r>
      <w:r>
        <w:t xml:space="preserve">Two of the representatives in </w:t>
      </w:r>
      <w:r>
        <w:t>paragraphs A</w:t>
      </w:r>
      <w:r>
        <w:t xml:space="preserve"> to </w:t>
      </w:r>
      <w:r>
        <w:t>D</w:t>
      </w:r>
      <w:r>
        <w:t xml:space="preserve"> must be directly involved in alternative education programs.  There may be no more than 15 members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§11 (AMD).]</w:t>
      </w:r>
    </w:p>
    <w:p>
      <w:pPr>
        <w:jc w:val="both"/>
        <w:spacing w:before="100" w:after="0"/>
        <w:ind w:start="360"/>
        <w:ind w:firstLine="360"/>
      </w:pPr>
      <w:r>
        <w:rPr>
          <w:b/>
        </w:rPr>
        <w:t>4</w:t>
        <w:t xml:space="preserve">.  </w:t>
      </w:r>
      <w:r>
        <w:rPr>
          <w:b/>
        </w:rPr>
        <w:t xml:space="preserve">Term of office.</w:t>
        <w:t xml:space="preserve"> </w:t>
      </w:r>
      <w:r>
        <w:t xml:space="preserve"> </w:t>
      </w:r>
      <w:r>
        <w:t xml:space="preserve">The members of the advisory committee shall serve for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5</w:t>
        <w:t xml:space="preserve">.  </w:t>
      </w:r>
      <w:r>
        <w:rPr>
          <w:b/>
        </w:rPr>
        <w:t xml:space="preserve">Expenses.</w:t>
        <w:t xml:space="preserve"> </w:t>
      </w:r>
      <w:r>
        <w:t xml:space="preserve"> </w:t>
      </w:r>
      <w:r>
        <w:t xml:space="preserve">Members of the advisory committee shall be reimbursed for expenses only for attending meetings or performing other functions authorized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6</w:t>
        <w:t xml:space="preserve">.  </w:t>
      </w:r>
      <w:r>
        <w:rPr>
          <w:b/>
        </w:rPr>
        <w:t xml:space="preserve">Annual reports.</w:t>
        <w:t xml:space="preserve"> </w:t>
      </w:r>
      <w:r>
        <w:t xml:space="preserve"> </w:t>
      </w:r>
      <w:r>
        <w:t xml:space="preserve">The committee shall report annually by February 1st to the joint standing committee of the Legislature having jurisdiction over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PL 1995, c. 560, §K82 (AMD). PL 1995, c. 560, §K83 (AFF). PL 2001, c. 354, §3 (AMD). PL 2001, c. 452, §13 (AMD). PL 2005, c. 397, §§A15,16 (AMD). PL 2007, c. 667,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§5152.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§5152.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§5152.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