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§4710-B. Dyslexia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§4710-B. Dyslexia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§4710-B. DYSLEXIA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