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Instruction in Braille and Unified English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§4707. INSTRUCTION IN BRAILLE AND UNIFIED ENGLISH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