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4003</w:t>
        <w:t xml:space="preserve">.  </w:t>
      </w:r>
      <w:r>
        <w:rPr>
          <w:b/>
        </w:rPr>
        <w:t xml:space="preserve">Water supply</w:t>
      </w:r>
    </w:p>
    <w:p>
      <w:pPr>
        <w:jc w:val="both"/>
        <w:spacing w:before="100" w:after="100"/>
        <w:ind w:start="360"/>
        <w:ind w:firstLine="360"/>
      </w:pPr>
      <w:r>
        <w:rPr/>
      </w:r>
      <w:r>
        <w:rPr/>
      </w:r>
      <w:r>
        <w:t xml:space="preserve">If a school building of a school administrative unit is supplied by a water supply operated by the school administrative unit and which serves only the school buildings under the control of the school board, the water supply is not considered a public water supply under </w:t>
      </w:r>
      <w:r>
        <w:t>Title 22, sections 2651‑B</w:t>
      </w:r>
      <w:r>
        <w:t xml:space="preserve"> and </w:t>
      </w:r>
      <w:r>
        <w:t>2653</w:t>
      </w:r>
      <w:r>
        <w:t xml:space="preserve">. The school board shall ensure that this water supply meets standards set by the Department of Health and Human Services for private water supplies of schools.</w:t>
      </w:r>
      <w:r>
        <w:t xml:space="preserve">  </w:t>
      </w:r>
      <w:r xmlns:wp="http://schemas.openxmlformats.org/drawingml/2010/wordprocessingDrawing" xmlns:w15="http://schemas.microsoft.com/office/word/2012/wordml">
        <w:rPr>
          <w:rFonts w:ascii="Arial" w:hAnsi="Arial" w:cs="Arial"/>
          <w:sz w:val="22"/>
          <w:szCs w:val="22"/>
        </w:rPr>
        <w:t xml:space="preserve">[RR 2021, c. 2, Pt. A, §41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2003, c. 689, §B6 (REV). RR 2021, c. 2, Pt. A, §41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§4003. Water supply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§4003. WATER SUPPLY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