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3632</w:t>
        <w:t xml:space="preserve">.  </w:t>
      </w:r>
      <w:r>
        <w:rPr>
          <w:b/>
        </w:rPr>
        <w:t xml:space="preserve">Auditors</w:t>
      </w:r>
    </w:p>
    <w:p>
      <w:pPr>
        <w:jc w:val="both"/>
        <w:spacing w:before="100" w:after="100"/>
        <w:ind w:start="360"/>
        <w:ind w:firstLine="360"/>
      </w:pPr>
      <w:r>
        <w:rPr/>
      </w:r>
      <w:r>
        <w:rPr/>
      </w:r>
      <w:r>
        <w:t xml:space="preserve">At the organization meeting of the district, 3 auditors shall be chosen, one to serve for a term of one year, one to serve for a term of 2 years and one to serve for a term of 3 years.  After the expiration of each original term, the successor shall be chosen for a 3-year term.  At least one auditor shall be a resident of Maine, and one auditor shall be a resident of New Hampshire.  An interstate district may vote to employ a certified public accountant to assist the auditors in the performance of their duties.  The auditors shall carefully examine the accounts of the treasurer and the directors at the close of each fiscal year, and at such other times whenever necessary, and report to the district whether the same are correctly cast and properly vouched.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§3632. Auditors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§3632. Auditors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§3632. AUDITORS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