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School privileges in the unorganized territories</w:t>
      </w:r>
    </w:p>
    <w:p>
      <w:pPr>
        <w:jc w:val="both"/>
        <w:spacing w:before="100" w:after="100"/>
        <w:ind w:start="360"/>
        <w:ind w:firstLine="360"/>
      </w:pPr>
      <w:r>
        <w:rPr/>
      </w:r>
      <w:r>
        <w:rPr/>
      </w:r>
      <w:r>
        <w:t xml:space="preserve">Subject to such reasonable rules as the commissioner may adopt, all persons who have attained the age of 5 years on October 15th and have not reached 20 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w:t>
      </w:r>
      <w:r>
        <w:t>section 6209</w:t>
      </w:r>
      <w:r>
        <w:t xml:space="preserve"> under the direction of the commissioner and must meet the general standards for elementary and secondary schooling and special education established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2001, c. 454,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§2 (AMD). PL 2001, c. 454,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§3251. School privileges in the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School privileges in the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§3251. SCHOOL PRIVILEGES IN THE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