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Non-Maine students</w:t>
      </w:r>
    </w:p>
    <w:p>
      <w:pPr>
        <w:jc w:val="both"/>
        <w:spacing w:before="100" w:after="100"/>
        <w:ind w:start="360"/>
        <w:ind w:firstLine="360"/>
      </w:pPr>
      <w:r>
        <w:rPr/>
      </w:r>
      <w:r>
        <w:rPr/>
      </w:r>
      <w:r>
        <w:t xml:space="preserve">Schools which enroll only students whose parents are not residents of the State shall meet all health and safety requirements of the State applicable to private schools.</w:t>
      </w:r>
      <w:r>
        <w:t xml:space="preserve">  </w:t>
      </w:r>
      <w:r xmlns:wp="http://schemas.openxmlformats.org/drawingml/2010/wordprocessingDrawing" xmlns:w15="http://schemas.microsoft.com/office/word/2012/wordml">
        <w:rPr>
          <w:rFonts w:ascii="Arial" w:hAnsi="Arial" w:cs="Arial"/>
          <w:sz w:val="22"/>
          <w:szCs w:val="22"/>
        </w:rPr>
        <w:t xml:space="preserve">[PL 1983, c. 859, Pt. A, §§ 12, 25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§§A12,A25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§3051. Non-Maine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Non-Maine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§3051. NON-MAINE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