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1305-C</w:t>
        <w:t xml:space="preserve">.  </w:t>
      </w:r>
      <w:r>
        <w:rPr>
          <w:b/>
        </w:rPr>
        <w:t xml:space="preserve">Mandatory budget validation and cost center summary budget form</w:t>
      </w:r>
    </w:p>
    <w:p>
      <w:pPr>
        <w:jc w:val="both"/>
        <w:spacing w:before="100" w:after="100"/>
        <w:ind w:start="360"/>
        <w:ind w:firstLine="360"/>
      </w:pPr>
      <w:r>
        <w:rPr/>
      </w:r>
      <w:r>
        <w:rPr/>
      </w:r>
      <w:r>
        <w:t xml:space="preserve">Notwithstanding any other law, school administrative district budgets developed after January 1, 2008 must conform to the format and referendum procedures for regional school units as set forth in </w:t>
      </w:r>
      <w:r>
        <w:t>sections 1485</w:t>
      </w:r>
      <w:r>
        <w:t xml:space="preserve"> and </w:t>
      </w:r>
      <w:r>
        <w:t>1486</w:t>
      </w:r>
      <w:r>
        <w:t xml:space="preserve">.  A school administrative district is deemed to be a regional school unit solely for the purpose of developing a budget pursuant to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 (AMD);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§11 (NEW). PL 2007, c. 668, §2 (AMD). PL 2007, c. 668,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§1305-C. Mandatory budget validation and cost center summary budget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§1305-C. Mandatory budget validation and cost center summary budget form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§1305-C. MANDATORY BUDGET VALIDATION AND COST CENTER SUMMARY BUDGET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