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Science, Technology, Engineering and Mathematics Loan Fund established in </w:t>
      </w:r>
      <w:r>
        <w:t>section 12923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Science, Technology, Engineering and Mathematics Loan Program established in </w:t>
      </w:r>
      <w:r>
        <w:t>section 12922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w:pPr>
        <w:jc w:val="both"/>
        <w:spacing w:before="100" w:after="0"/>
        <w:ind w:start="360"/>
        <w:ind w:firstLine="360"/>
      </w:pPr>
      <w:r>
        <w:rPr>
          <w:b/>
        </w:rPr>
        <w:t>4</w:t>
        <w:t xml:space="preserve">.  </w:t>
      </w:r>
      <w:r>
        <w:rPr>
          <w:b/>
        </w:rPr>
        <w:t xml:space="preserve">STEM student.</w:t>
        <w:t xml:space="preserve"> </w:t>
      </w:r>
      <w:r>
        <w:t xml:space="preserve"> </w:t>
      </w:r>
      <w:r>
        <w:t xml:space="preserve">"STEM student" means an undergraduate or graduate student who is a resident of the State and is engaged in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  "STEM student" also means a high school senior committed to the study of science, computer science, technology, engineering or mathematics at an accredited institution of higher education eligible to receive federal assistance under a federal student assistance program authorized under the federal Higher Education Act of 1965, Title IV and has been selected by the authority pursuant to </w:t>
      </w:r>
      <w:r>
        <w:t>section 12922</w:t>
      </w:r>
      <w:r>
        <w:t xml:space="preserve"> to receive a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