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12543</w:t>
        <w:t xml:space="preserve">.  </w:t>
      </w:r>
      <w:r>
        <w:rPr>
          <w:b/>
        </w:rPr>
        <w:t xml:space="preserve">Effect on funding of higher education</w:t>
      </w:r>
    </w:p>
    <w:p>
      <w:pPr>
        <w:jc w:val="both"/>
        <w:spacing w:before="100" w:after="100"/>
        <w:ind w:start="360"/>
        <w:ind w:firstLine="360"/>
      </w:pPr>
      <w:r>
        <w:rPr/>
      </w:r>
      <w:r>
        <w:rPr/>
      </w:r>
      <w:r>
        <w:t xml:space="preserve">It is the intent of the Legislature that neither the existence of the program nor the benefits provided under the student loan repayment tax credit serve as justification to decrease other funds appropriated or allocated to accredited Maine community colleges, colleges or universities, including institutions in the Maine Community College System and the University of Maine System, or to other higher education programs.</w:t>
      </w:r>
      <w:r>
        <w:t xml:space="preserve">  </w:t>
      </w:r>
      <w:r xmlns:wp="http://schemas.openxmlformats.org/drawingml/2010/wordprocessingDrawing" xmlns:w15="http://schemas.microsoft.com/office/word/2012/wordml">
        <w:rPr>
          <w:rFonts w:ascii="Arial" w:hAnsi="Arial" w:cs="Arial"/>
          <w:sz w:val="22"/>
          <w:szCs w:val="22"/>
        </w:rPr>
        <w:t xml:space="preserve">[PL 2021, c. 635, Pt. H,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469, Pt. A, §1 (NEW). PL 2009, c. 553, Pt. A, §16 (AMD). PL 2021, c. 635, Pt. H,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§12543. Effect on funding of higher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§12543. Effect on funding of higher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§12543. EFFECT ON FUNDING OF HIGHER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