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11480</w:t>
        <w:t xml:space="preserve">.  </w:t>
      </w:r>
      <w:r>
        <w:rPr>
          <w:b/>
        </w:rPr>
        <w:t xml:space="preserve">Rights of participants and beneficiaries to assets of the authority</w:t>
      </w:r>
    </w:p>
    <w:p>
      <w:pPr>
        <w:jc w:val="both"/>
        <w:spacing w:before="100" w:after="100"/>
        <w:ind w:start="360"/>
        <w:ind w:firstLine="360"/>
      </w:pPr>
      <w:r>
        <w:rPr/>
      </w:r>
      <w:r>
        <w:rPr/>
      </w:r>
      <w:r>
        <w:t xml:space="preserve">Participants and beneficiaries do not have access or rights to any assets of the authority other than program fund assets credited to the account of that participant or beneficiary.  An account may not be deemed a debt or obligation of the authority or of the State.</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§11480. Rights of participants and beneficiaries to assets of the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§11480. Rights of participants and beneficiaries to assets of the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§11480. RIGHTS OF PARTICIPANTS AND BENEFICIARIES TO ASSETS OF THE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