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§11432. Termination of existence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§11432. Termination of existence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§11432. TERMINATION OF EXISTENCE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