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10204</w:t>
        <w:t xml:space="preserve">.  </w:t>
      </w:r>
      <w:r>
        <w:rPr>
          <w:b/>
        </w:rPr>
        <w:t xml:space="preserve">Fees</w:t>
      </w:r>
    </w:p>
    <w:p>
      <w:pPr>
        <w:jc w:val="both"/>
        <w:spacing w:before="100" w:after="0"/>
        <w:ind w:start="360"/>
        <w:ind w:firstLine="360"/>
      </w:pPr>
      <w:r>
        <w:rPr>
          <w:b/>
        </w:rPr>
        <w:t>1</w:t>
        <w:t xml:space="preserve">.  </w:t>
      </w:r>
      <w:r>
        <w:rPr>
          <w:b/>
        </w:rPr>
        <w:t xml:space="preserve">Payment of fees.</w:t>
        <w:t xml:space="preserve"> </w:t>
      </w:r>
      <w:r>
        <w:t xml:space="preserve"> </w:t>
      </w:r>
      <w:r>
        <w:t xml:space="preserve">Persons, corporations and all other bodies seeking services from ETLM shall pay all fees and charges set by ETLM for those services.  All fees and charges shall be paid to ETLM in accordance with arrangements made by and between ETLM and those receiving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w:t>
      </w:r>
    </w:p>
    <w:p>
      <w:pPr>
        <w:jc w:val="both"/>
        <w:spacing w:before="100" w:after="0"/>
        <w:ind w:start="360"/>
        <w:ind w:firstLine="360"/>
      </w:pPr>
      <w:r>
        <w:rPr>
          <w:b/>
        </w:rPr>
        <w:t>2</w:t>
        <w:t xml:space="preserve">.  </w:t>
      </w:r>
      <w:r>
        <w:rPr>
          <w:b/>
        </w:rPr>
        <w:t xml:space="preserve">Dedicated account.</w:t>
        <w:t xml:space="preserve"> </w:t>
      </w:r>
      <w:r>
        <w:t xml:space="preserve"> </w:t>
      </w:r>
      <w:r>
        <w:t xml:space="preserve">All fees received by ETLM shall be paid to the Treasurer of State to be placed in a separate, dedicated, nonlapsing income-earning or interest-earning account and shall be used solely for fulfilling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§10204.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§10204.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§10204.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