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Conflict of interest; contracts</w:t>
      </w:r>
    </w:p>
    <w:p>
      <w:pPr>
        <w:jc w:val="both"/>
        <w:spacing w:before="100" w:after="100"/>
        <w:ind w:start="360"/>
        <w:ind w:firstLine="360"/>
      </w:pPr>
      <w:r>
        <w:rPr/>
      </w:r>
      <w:r>
        <w:rPr/>
      </w:r>
      <w:r>
        <w:t xml:space="preserve">A contract made by a school board shall follow the requirement of </w:t>
      </w:r>
      <w:r>
        <w:t>Title 30‑A, section 2605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C, §§35, 106 (AMD); PL 1989, c. 6 (AMD); PL 1989, c. 9, §2 (AMD); PL 1989, c. 104, Pt. C, §§8,10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737, §§C35,C106 (AMD).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Conflict of interest;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Conflict of interest;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§1004. CONFLICT OF INTEREST;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