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MAINE-NEW HAMPSHIRE INTERSTATE SCHOOL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121. MAINE-NEW HAMPSHIRE INTERSTATE SCHOOL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