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 and</w:t>
      </w:r>
    </w:p>
    <w:p xmlns:wp="http://schemas.openxmlformats.org/drawingml/2010/wordprocessingDrawing" xmlns:w15="http://schemas.microsoft.com/office/word/2012/wordml">
      <w:pPr>
        <w:spacing w:before="100" w:after="100"/>
        <w:ind w:start="720"/>
        <w:ind w:firstLine="0"/>
      </w:pPr>
      <w:r>
        <w:t xml:space="preserve">Deputy Commissioner,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w:t>
      </w:r>
    </w:p>
    <w:p xmlns:wp="http://schemas.openxmlformats.org/drawingml/2010/wordprocessingDrawing" xmlns:w15="http://schemas.microsoft.com/office/word/2012/wordml">
      <w:pPr>
        <w:spacing w:before="100" w:after="100"/>
        <w:ind w:start="720"/>
        <w:ind w:firstLine="0"/>
      </w:pPr>
      <w:r>
        <w:t xml:space="preserve">Executive Director, Office of Affordable Health Care; and</w:t>
      </w:r>
    </w:p>
    <w:p xmlns:wp="http://schemas.openxmlformats.org/drawingml/2010/wordprocessingDrawing" xmlns:w15="http://schemas.microsoft.com/office/word/2012/wordml">
      <w:pPr>
        <w:spacing w:before="100" w:after="100"/>
        <w:ind w:start="720"/>
        <w:ind w:firstLine="0"/>
      </w:pPr>
      <w:r>
        <w:t xml:space="preserve">Director, Maine Office of Community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DD,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Public Defense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PL 2023, c. 558, §1 (AMD). PL 2023, c. 625, §1 (AMD). PL 2023, c. 643, Pt. DD,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Salaries subject to adjustment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 SALARIES SUBJECT TO ADJUSTMENT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