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Distribution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Distribution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§2401. DISTRIBUTION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