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2356</w:t>
        <w:t xml:space="preserve">.  </w:t>
      </w:r>
      <w:r>
        <w:rPr>
          <w:b/>
        </w:rPr>
        <w:t xml:space="preserve">Exemptions</w:t>
      </w:r>
    </w:p>
    <w:p>
      <w:pPr>
        <w:jc w:val="both"/>
        <w:spacing w:before="100" w:after="100"/>
        <w:ind w:start="360"/>
        <w:ind w:firstLine="360"/>
      </w:pPr>
      <w:r>
        <w:rPr/>
      </w:r>
      <w:r>
        <w:rPr/>
      </w:r>
      <w:r>
        <w:t xml:space="preserve">The following exemptions apply to weekly earnings.  The maximum part of the aggregate disposable earnings of a responsible parent for any workweek that is subject to garnishment or income withholding may not exceed:</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360"/>
        <w:ind w:firstLine="360"/>
      </w:pPr>
      <w:r>
        <w:rPr>
          <w:b/>
        </w:rPr>
        <w:t>1</w:t>
        <w:t xml:space="preserve">.  </w:t>
      </w:r>
      <w:r>
        <w:rPr>
          <w:b/>
        </w:rPr>
        <w:t xml:space="preserve">Supporting spouse or dependent child.</w:t>
        <w:t xml:space="preserve"> </w:t>
      </w:r>
      <w:r>
        <w:t xml:space="preserve"> </w:t>
      </w:r>
      <w:r>
        <w:t xml:space="preserve">When the individual is supporting that individual's spouse or dependent child, other than a spouse or child with respect to whose support that order is used, 50% of that individual's disposable earnings for that week;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2</w:t>
        <w:t xml:space="preserve">.  </w:t>
      </w:r>
      <w:r>
        <w:rPr>
          <w:b/>
        </w:rPr>
        <w:t xml:space="preserve">Not supporting spouse or dependent child.</w:t>
        <w:t xml:space="preserve"> </w:t>
      </w:r>
      <w:r>
        <w:t xml:space="preserve"> </w:t>
      </w:r>
      <w:r>
        <w:t xml:space="preserve">When the individual is not supporting such a spouse or dependent child described in </w:t>
      </w:r>
      <w:r>
        <w:t>subsection 1</w:t>
      </w:r>
      <w:r>
        <w:t xml:space="preserve">, 60% of that individual's disposable earnings for that week.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100"/>
        <w:ind w:start="360"/>
        <w:ind w:firstLine="360"/>
      </w:pPr>
      <w:r>
        <w:rPr/>
      </w:r>
      <w:r>
        <w:rPr/>
      </w:r>
      <w:r>
        <w:t xml:space="preserve">With respect to the disposable earnings of any individual for any workweek, the 50% specified in </w:t>
      </w:r>
      <w:r>
        <w:t>subsection 1</w:t>
      </w:r>
      <w:r>
        <w:t xml:space="preserve"> is deemed to be 55% and the 60% specified in </w:t>
      </w:r>
      <w:r>
        <w:t>subsection 2</w:t>
      </w:r>
      <w:r>
        <w:t xml:space="preserve"> is deemed to be 65% if and to the extent that such earnings are subject to garnishment to enforce a support order with respect to a period that is prior to the 12-week period that ends with the beginning of that workweek.  In no event may the amount withheld exceed the limitations imposed by 15 United States Code, Section 1673.</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§2356. Exemptions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§2356. Exemptions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§2356. EXEMPTIONS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