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Additional genetic testing</w:t>
      </w:r>
    </w:p>
    <w:p>
      <w:pPr>
        <w:jc w:val="both"/>
        <w:spacing w:before="100" w:after="100"/>
        <w:ind w:start="360"/>
        <w:ind w:firstLine="360"/>
      </w:pPr>
      <w:r>
        <w:rPr/>
      </w:r>
      <w:r>
        <w:rPr/>
      </w:r>
      <w:r>
        <w:t xml:space="preserve">The court shall order additional genetic testing upon the request of a party who contests the result of the initial testing.  If the initial genetic testing identified a person as the genetic father or genetic mother of the child under </w:t>
      </w:r>
      <w:r>
        <w:t>section 1904</w:t>
      </w:r>
      <w:r>
        <w:t xml:space="preserve">, the court or agency may not order additional testing unless the party provides advance payment for the testing.</w:t>
      </w:r>
      <w:r>
        <w:t xml:space="preserve">  </w:t>
      </w:r>
      <w:r xmlns:wp="http://schemas.openxmlformats.org/drawingml/2010/wordprocessingDrawing" xmlns:w15="http://schemas.microsoft.com/office/word/2012/wordml">
        <w:rPr>
          <w:rFonts w:ascii="Arial" w:hAnsi="Arial" w:cs="Arial"/>
          <w:sz w:val="22"/>
          <w:szCs w:val="22"/>
        </w:rPr>
        <w:t xml:space="preserve">[PL 2015, c. 296, Pt. A, §1 (NEW); PL 2015, c. 296, Pt. D,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296, Pt. A, §1 (NEW).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§1906. Additional genetic testing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Additional genetic testing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§1906. ADDITIONAL GENETIC TESTING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