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1508</w:t>
        <w:t xml:space="preserve">.  </w:t>
      </w:r>
      <w:r>
        <w:rPr>
          <w:b/>
        </w:rPr>
        <w:t xml:space="preserve">Actions</w:t>
      </w:r>
    </w:p>
    <w:p>
      <w:pPr>
        <w:jc w:val="both"/>
        <w:spacing w:before="100" w:after="100"/>
        <w:ind w:start="360"/>
        <w:ind w:firstLine="360"/>
      </w:pPr>
      <w:r>
        <w:rPr/>
      </w:r>
      <w:r>
        <w:rPr/>
      </w:r>
      <w:r>
        <w:t xml:space="preserve">An action under this Part may be commenced by civil summons without an order of service from the court. The Supreme Judicial Court shall prescribe by general rule the procedure for that civil action.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§1508.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§1508.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§1508.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