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Spouse's separate property</w:t>
      </w:r>
    </w:p>
    <w:p>
      <w:pPr>
        <w:jc w:val="both"/>
        <w:spacing w:before="100" w:after="100"/>
        <w:ind w:start="360"/>
        <w:ind w:firstLine="360"/>
      </w:pPr>
      <w:r>
        <w:rPr/>
      </w:r>
      <w:r>
        <w:rPr/>
      </w:r>
      <w:r>
        <w:t xml:space="preserve">A person having property is not deprived of any part of that property by marriage, and a person acquires no right to any property of that person's spouse.  A married person may release to that person's spouse the right to control that person's property or any part of it and to dispose of the income of the property for their mutual benefit, and may in writing revoke that right of control or disposal.</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Spouse's separate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Spouse's separate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§802. SPOUSE'S SEPARATE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