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4104</w:t>
        <w:t xml:space="preserve">.  </w:t>
      </w:r>
      <w:r>
        <w:rPr>
          <w:b/>
        </w:rPr>
        <w:t xml:space="preserve">Commencement of a proceeding</w:t>
      </w:r>
    </w:p>
    <w:p>
      <w:pPr>
        <w:jc w:val="both"/>
        <w:spacing w:before="100" w:after="100"/>
        <w:ind w:start="360"/>
        <w:ind w:firstLine="360"/>
      </w:pPr>
      <w:r>
        <w:rPr>
          <w:b/>
        </w:rPr>
        <w:t>1</w:t>
        <w:t xml:space="preserve">.  </w:t>
      </w:r>
      <w:r>
        <w:rPr>
          <w:b/>
        </w:rPr>
        <w:t xml:space="preserve">Venue and jurisdiction.</w:t>
        <w:t xml:space="preserve"> </w:t>
      </w:r>
      <w:r>
        <w:t xml:space="preserve"> </w:t>
      </w:r>
      <w:r>
        <w:t xml:space="preserve">Proceedings under this chapter must be filed, heard and determined in the District Court of the division:</w:t>
      </w:r>
    </w:p>
    <w:p>
      <w:pPr>
        <w:jc w:val="both"/>
        <w:spacing w:before="100" w:after="0"/>
        <w:ind w:start="720"/>
      </w:pPr>
      <w:r>
        <w:rPr/>
        <w:t>A</w:t>
        <w:t xml:space="preserve">.  </w:t>
      </w:r>
      <w:r>
        <w:rPr/>
      </w:r>
      <w:r>
        <w:t xml:space="preserve">In which the plaintiff or defendant resides; or</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If the plaintiff has left the plaintiff's residence to avoid abuse, of the plaintiff's previous residence or new residence.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360"/>
      </w:pPr>
      <w:r>
        <w:rPr/>
      </w:r>
      <w:r>
        <w:rPr/>
      </w:r>
      <w:r>
        <w:t xml:space="preserve">If a District Court Judge is not available in the division in which a complaint requesting a temporary order is to be filed, the complaint may be presented to another District Court Judge or to any Superior Court Justice.  A Superior Court Justice has the same authority as a District Court Judge to grant or deny the temporary order.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Filing.</w:t>
        <w:t xml:space="preserve"> </w:t>
      </w:r>
      <w:r>
        <w:t xml:space="preserve"> </w:t>
      </w:r>
      <w:r>
        <w:t xml:space="preserve">A person may seek relief by filing a complaint alleging the abuse or conduct that makes the plaintiff eligible to seek protection pursuant to </w:t>
      </w:r>
      <w:r>
        <w:t>section 4103</w:t>
      </w:r>
      <w:r>
        <w:t xml:space="preserve">.  The complaint need only include a short and plain statement showing that the plaintiff is entitled to relief.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§4104. Commencement of a proceeding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§4104. Commencement of a proceeding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§4104. COMMENCEMENT OF A PROCEEDING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