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3015</w:t>
        <w:t xml:space="preserve">.  </w:t>
      </w:r>
      <w:r>
        <w:rPr>
          <w:b/>
        </w:rPr>
        <w:t xml:space="preserve">Nonparentage as defense</w:t>
      </w:r>
    </w:p>
    <w:p>
      <w:pPr>
        <w:jc w:val="both"/>
        <w:spacing w:before="100" w:after="100"/>
        <w:ind w:start="360"/>
        <w:ind w:firstLine="360"/>
      </w:pPr>
      <w:r>
        <w:rPr/>
      </w:r>
      <w:r>
        <w:rPr/>
      </w:r>
      <w:r>
        <w:t xml:space="preserve">A party whose parentage of a child has been previously determined by or pursuant to law may not plead nonparentage as a defense to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§3015. Nonparentage as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§3015. Nonparentage as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§3015. NONPARENTAGE AS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