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3012</w:t>
        <w:t xml:space="preserve">.  </w:t>
      </w:r>
      <w:r>
        <w:rPr>
          <w:b/>
        </w:rPr>
        <w:t xml:space="preserve">Nondisclosure of information in exceptional circumstances</w:t>
      </w:r>
    </w:p>
    <w:p>
      <w:pPr>
        <w:jc w:val="both"/>
        <w:spacing w:before="100" w:after="100"/>
        <w:ind w:start="360"/>
        <w:ind w:firstLine="360"/>
      </w:pPr>
      <w:r>
        <w:rPr/>
      </w:r>
      <w:r>
        <w:rPr/>
      </w:r>
      <w:r>
        <w:t xml:space="preserve">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w:t>
      </w:r>
      <w:r>
        <w:t xml:space="preserve">  </w:t>
      </w:r>
      <w:r xmlns:wp="http://schemas.openxmlformats.org/drawingml/2010/wordprocessingDrawing" xmlns:w15="http://schemas.microsoft.com/office/word/2012/wordml">
        <w:rPr>
          <w:rFonts w:ascii="Arial" w:hAnsi="Arial" w:cs="Arial"/>
          <w:sz w:val="22"/>
          <w:szCs w:val="22"/>
        </w:rPr>
        <w:t xml:space="preserve">[PL 2003, c. 436, §22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2003, c. 436, §22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§3012. Nondisclosure of information in exceptional circumstances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§3012. Nondisclosure of information in exceptional circumstances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§3012. NONDISCLOSURE OF INFORMATION IN EXCEPTIONAL CIRCUMSTANCES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