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Discovery of past income</w:t>
      </w:r>
    </w:p>
    <w:p>
      <w:pPr>
        <w:jc w:val="both"/>
        <w:spacing w:before="100" w:after="100"/>
        <w:ind w:start="360"/>
        <w:ind w:firstLine="360"/>
      </w:pPr>
      <w:r>
        <w:rPr/>
      </w:r>
      <w:r>
        <w:rPr/>
      </w:r>
      <w:r>
        <w:t xml:space="preserve">The responsible parent has an obligation to supply evidence regarding past income in order to calculate the debt owed the department or an applicant for services under </w:t>
      </w:r>
      <w:r>
        <w:t>section 2103</w:t>
      </w:r>
      <w:r>
        <w:t xml:space="preserve"> if the evidence is reasonably available.  The responsible parent has 30 days to supply evidence of past income if requested to do so by the department.  A request for evidence regarding past income may be made through an administrative form developed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Failure to provide the evidence, absent a showing of good cause for failure to do so or notification to the department of good faith attempts to secure the information, allows the administrative hearing officer to draw a reasonable inference from the evidence available, including an inference that the responsible parent had a greater earning capacity than the average weekly wage of a worker within this State as defined by the most recent Department of Labor statistics.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§2307. Discovery of past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Discovery of past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§2307. DISCOVERY OF PAST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