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§1902. Requirements for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Requirements for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§1902. REQUIREMENTS FOR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