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360"/>
        <w:ind w:firstLine="360"/>
      </w:pPr>
      <w:r>
        <w:rPr>
          <w:b/>
        </w:rPr>
        <w:t>1</w:t>
        <w:t xml:space="preserve">.  </w:t>
      </w:r>
      <w:r>
        <w:rPr>
          <w:b/>
        </w:rPr>
        <w:t xml:space="preserve">Grandparent.</w:t>
        <w:t xml:space="preserve"> </w:t>
      </w:r>
      <w:r>
        <w:t xml:space="preserve"> </w:t>
      </w:r>
      <w:r>
        <w:t xml:space="preserve">"Grandparent" is a parent of a child's parent or the parent of the parent of a child's parent.  "Grandparent" includes a parent of a child's parent whose parental rights have been terminated pursuant to </w:t>
      </w:r>
      <w:r>
        <w:t>Title 18‑C, section 9‑204</w:t>
      </w:r>
      <w:r>
        <w:t xml:space="preserve"> or </w:t>
      </w:r>
      <w:r>
        <w:t>Title 22, chapter 1071, subchapter 6</w:t>
      </w:r>
      <w:r>
        <w:t xml:space="preserve">, but only until the child's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197, §2 (AMD); PL 2019, c. 417, Pt. B, §14 (AFF).]</w:t>
      </w:r>
    </w:p>
    <w:p>
      <w:pPr>
        <w:jc w:val="both"/>
        <w:spacing w:before="100" w:after="0"/>
        <w:ind w:start="360"/>
        <w:ind w:firstLine="360"/>
      </w:pPr>
      <w:r>
        <w:rPr>
          <w:b/>
        </w:rPr>
        <w:t>2</w:t>
        <w:t xml:space="preserve">.  </w:t>
      </w:r>
      <w:r>
        <w:rPr>
          <w:b/>
        </w:rPr>
        <w:t xml:space="preserve">Sufficient existing relationship.</w:t>
        <w:t xml:space="preserve"> </w:t>
      </w:r>
      <w:r>
        <w:t xml:space="preserve"> </w:t>
      </w:r>
      <w:r>
        <w:t xml:space="preserve">"Sufficient existing relationship" means a relationship involving extraordinary contact between a grandparent and a child, including but not limited to circumstances in which the grandparent has been a primary caregiver and custodian of the child for a significant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2015, c. 296, Pt. C, §19 (AMD). PL 2015, c. 296, Pt. D, §1 (AFF). PL 2017, c. 328, §1 (AMD). PL 2017, c. 402, Pt. C, §37 (AMD). PL 2017, c. 402, Pt. F, §1 (AFF). PL 2019, c. 197, §2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