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Costs, fees and expenses</w:t>
      </w:r>
    </w:p>
    <w:p>
      <w:pPr>
        <w:jc w:val="both"/>
        <w:spacing w:before="100" w:after="0"/>
        <w:ind w:start="360"/>
        <w:ind w:firstLine="360"/>
      </w:pPr>
      <w:r>
        <w:rPr>
          <w:b/>
        </w:rPr>
        <w:t>1</w:t>
        <w:t xml:space="preserve">.  </w:t>
      </w:r>
      <w:r>
        <w:rPr>
          <w:b/>
        </w:rPr>
        <w:t xml:space="preserve">Award to prevailing party; exception.</w:t>
        <w:t xml:space="preserve"> </w:t>
      </w:r>
      <w:r>
        <w:t xml:space="preserve"> </w:t>
      </w:r>
      <w:r>
        <w:t xml:space="preserve">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court finds that special circumstances make the award of these expenses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against a state.</w:t>
        <w:t xml:space="preserve"> </w:t>
      </w:r>
      <w:r>
        <w:t xml:space="preserve"> </w:t>
      </w:r>
      <w:r>
        <w:t xml:space="preserve">The court may not assess fees, costs or expenses against a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§1772. Costs, fees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Costs, fees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§1772. COSTS, FEES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