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w:t>
        <w:t xml:space="preserve">.  </w:t>
      </w:r>
      <w:r>
        <w:rPr>
          <w:b/>
        </w:rPr>
        <w:t xml:space="preserve">Hearing and order</w:t>
      </w:r>
    </w:p>
    <w:p>
      <w:pPr>
        <w:jc w:val="both"/>
        <w:spacing w:before="100" w:after="100"/>
        <w:ind w:start="360"/>
        <w:ind w:firstLine="360"/>
      </w:pPr>
      <w:r>
        <w:rPr>
          <w:b/>
        </w:rPr>
        <w:t>1</w:t>
        <w:t xml:space="preserve">.  </w:t>
      </w:r>
      <w:r>
        <w:rPr>
          <w:b/>
        </w:rPr>
        <w:t xml:space="preserve">Immediate physical custody of child.</w:t>
        <w:t xml:space="preserve"> </w:t>
      </w:r>
      <w:r>
        <w:t xml:space="preserve"> </w:t>
      </w:r>
      <w:r>
        <w:t xml:space="preserve">Unless the court issues a temporary emergency order pursuant to </w:t>
      </w:r>
      <w:r>
        <w:t>section 1748</w:t>
      </w:r>
      <w:r>
        <w:t xml:space="preserve">, upon a finding that a petitioner is entitled to immediate physical custody of the child, the court shall order that the petitioner may take immediate physical custody of the child unless the respondent establishes that:</w:t>
      </w:r>
    </w:p>
    <w:p>
      <w:pPr>
        <w:jc w:val="both"/>
        <w:spacing w:before="100" w:after="0"/>
        <w:ind w:start="720"/>
      </w:pPr>
      <w:r>
        <w:rPr/>
        <w:t>A</w:t>
        <w:t xml:space="preserve">.  </w:t>
      </w:r>
      <w:r>
        <w:rPr/>
      </w:r>
      <w:r>
        <w:t xml:space="preserve">The child custody determination has not been registered and confirmed under </w:t>
      </w:r>
      <w:r>
        <w:t>section 1765</w:t>
      </w:r>
      <w:r>
        <w:t xml:space="preserve"> and that:</w:t>
      </w:r>
    </w:p>
    <w:p>
      <w:pPr>
        <w:jc w:val="both"/>
        <w:spacing w:before="100" w:after="0"/>
        <w:ind w:start="1080"/>
      </w:pPr>
      <w:r>
        <w:rPr/>
        <w:t>(</w:t>
        <w:t>1</w:t>
        <w:t xml:space="preserve">)  </w:t>
      </w:r>
      <w:r>
        <w:rPr/>
      </w:r>
      <w:r>
        <w:t xml:space="preserve">The issuing court did not have jurisdiction under </w:t>
      </w:r>
      <w:r>
        <w:t>subchapter II</w:t>
      </w:r>
      <w:r>
        <w:t xml:space="preserve">;</w:t>
      </w:r>
    </w:p>
    <w:p>
      <w:pPr>
        <w:jc w:val="both"/>
        <w:spacing w:before="100" w:after="0"/>
        <w:ind w:start="1080"/>
      </w:pPr>
      <w:r>
        <w:rPr/>
        <w:t>(</w:t>
        <w:t>2</w:t>
        <w:t xml:space="preserve">)  </w:t>
      </w:r>
      <w:r>
        <w:rPr/>
      </w:r>
      <w:r>
        <w:t xml:space="preserve">The child custody determination for which enforcement is sought has been vacated, stayed or modified by a court of a state having jurisdiction to do so under </w:t>
      </w:r>
      <w:r>
        <w:t>subchapter II</w:t>
      </w:r>
      <w:r>
        <w:t xml:space="preserve">; or</w:t>
      </w:r>
    </w:p>
    <w:p>
      <w:pPr>
        <w:jc w:val="both"/>
        <w:spacing w:before="100" w:after="0"/>
        <w:ind w:start="1080"/>
      </w:pPr>
      <w:r>
        <w:rPr/>
        <w:t>(</w:t>
        <w:t>3</w:t>
        <w:t xml:space="preserve">)  </w:t>
      </w:r>
      <w:r>
        <w:rPr/>
      </w:r>
      <w:r>
        <w:t xml:space="preserve">The respondent was entitled to notice, but notice was not given in accordance with the standards of </w:t>
      </w:r>
      <w:r>
        <w:t>section 1738</w:t>
      </w:r>
      <w:r>
        <w:t xml:space="preserve">, in the proceedings before the court that issued the order for which enforcement is sought;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The child custody determination for which enforcement is sought was registered and confirmed under </w:t>
      </w:r>
      <w:r>
        <w:t>section 1765</w:t>
      </w:r>
      <w:r>
        <w:t xml:space="preserve"> but has been vacated, stayed or modified by a court of a state having jurisdiction to do so under subchapter II.</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Award of fees, costs and expenses.</w:t>
        <w:t xml:space="preserve"> </w:t>
      </w:r>
      <w:r>
        <w:t xml:space="preserve"> </w:t>
      </w:r>
      <w:r>
        <w:t xml:space="preserve">The court shall award the fees, costs and expenses authorized under </w:t>
      </w:r>
      <w:r>
        <w:t>section 1772</w:t>
      </w:r>
      <w:r>
        <w:t xml:space="preserve"> and may grant additional relief, including a request for the assistance of law enforcement officials, and set a further hearing to determine whether additional relief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Refusal to answer.</w:t>
        <w:t xml:space="preserve"> </w:t>
      </w:r>
      <w:r>
        <w:t xml:space="preserve"> </w:t>
      </w:r>
      <w:r>
        <w:t xml:space="preserve">If a party called to testify refuses to answer on the ground that the testimony may be self-incriminating, the court may draw an adverse inference from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Privilege and immunity may not be invoked.</w:t>
        <w:t xml:space="preserve"> </w:t>
      </w:r>
      <w:r>
        <w:t xml:space="preserve"> </w:t>
      </w:r>
      <w:r>
        <w:t xml:space="preserve">A privilege against disclosure of communications between spouses and a defense of immunity based on the relationship of husband and wife or parent and child may not be invoked in a proceeding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§1770. Hearing and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 Hearing and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§1770. HEARING AND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