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1737</w:t>
        <w:t xml:space="preserve">.  </w:t>
      </w:r>
      <w:r>
        <w:rPr>
          <w:b/>
        </w:rPr>
        <w:t xml:space="preserve">Priority</w:t>
      </w:r>
    </w:p>
    <w:p>
      <w:pPr>
        <w:jc w:val="both"/>
        <w:spacing w:before="100" w:after="100"/>
        <w:ind w:start="360"/>
        <w:ind w:firstLine="360"/>
      </w:pPr>
      <w:r>
        <w:rPr/>
      </w:r>
      <w:r>
        <w:rPr/>
      </w:r>
      <w:r>
        <w:t xml:space="preserve">If a question of existence or exercise of jurisdiction under this Act is raised in a child custody proceeding, the question, upon request of a party, must be given priority on the calendar and handled expeditiously.</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§1737. Priority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§1737. Priority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§1737. PRIORITY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