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§1612. PROCEDURES AFTER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