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Notice of proceeding to commence an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Notice of proceeding to commence an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§1605. NOTICE OF PROCEEDING TO COMMENCE AN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