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DISTRIBUTION OF ESTATES OF NONRESIDENTS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Rules of descent; 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902</w:t>
        <w:t xml:space="preserve">.  </w:t>
      </w:r>
      <w:r>
        <w:rPr>
          <w:b/>
        </w:rPr>
        <w:t xml:space="preserve">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903</w:t>
        <w:t xml:space="preserve">.  </w:t>
      </w:r>
      <w:r>
        <w:rPr>
          <w:b/>
        </w:rPr>
        <w:t xml:space="preserve">Distribution of residue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904</w:t>
        <w:t xml:space="preserve">.  </w:t>
      </w:r>
      <w:r>
        <w:rPr>
          <w:b/>
        </w:rPr>
        <w:t xml:space="preserve">Disposal of proceeds of sale of land under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105. DISTRIBUTION OF ESTATES OF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DISTRIBUTION OF ESTATES OF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105. DISTRIBUTION OF ESTATES OF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