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5-508</w:t>
        <w:t xml:space="preserve">.  </w:t>
      </w:r>
      <w:r>
        <w:rPr>
          <w:b/>
        </w:rPr>
        <w:t xml:space="preserve">Professional evaluation</w:t>
      </w:r>
    </w:p>
    <w:p>
      <w:pPr>
        <w:jc w:val="both"/>
        <w:spacing w:before="100" w:after="100"/>
        <w:ind w:start="360"/>
        <w:ind w:firstLine="360"/>
      </w:pPr>
      <w:r>
        <w:rPr>
          <w:b/>
        </w:rPr>
        <w:t>1</w:t>
        <w:t xml:space="preserve">.  </w:t>
      </w:r>
      <w:r>
        <w:rPr>
          <w:b/>
        </w:rPr>
        <w:t xml:space="preserve">Order professional evaluation.</w:t>
        <w:t xml:space="preserve"> </w:t>
      </w:r>
      <w:r>
        <w:t xml:space="preserve"> </w:t>
      </w:r>
      <w:r>
        <w:t xml:space="preserve">At or before a hearing on a petition under this Part for a protective arrangement, the court shall order a professional evaluation of the respondent:</w:t>
      </w:r>
    </w:p>
    <w:p>
      <w:pPr>
        <w:jc w:val="both"/>
        <w:spacing w:before="100" w:after="0"/>
        <w:ind w:start="720"/>
      </w:pPr>
      <w:r>
        <w:rPr/>
        <w:t>A</w:t>
        <w:t xml:space="preserve">.  </w:t>
      </w:r>
      <w:r>
        <w:rPr/>
      </w:r>
      <w:r>
        <w:t xml:space="preserve">If the respondent requests the evaluation;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Unless the court finds that it has sufficient information to determine the respondent's needs and abilities without the evaluation.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Examination; report.</w:t>
        <w:t xml:space="preserve"> </w:t>
      </w:r>
      <w:r>
        <w:t xml:space="preserve"> </w:t>
      </w:r>
      <w:r>
        <w:t xml:space="preserve">If the court orders an evaluation under </w:t>
      </w:r>
      <w:r>
        <w:t>subsection 1</w:t>
      </w:r>
      <w:r>
        <w:t xml:space="preserve">, the respondent must be examined by a licensed physician or psychologist approved by the court who is qualified to evaluate the respondent's alleged cognitive and functional abilities and limitations and will not be advantaged or disadvantaged by a decision to grant the petition or otherwise have a conflict of interest.  The individual conducting the evaluation promptly shall file a report in a record with the court.  Unless otherwise directed by the court, the report must contain:</w:t>
      </w:r>
    </w:p>
    <w:p>
      <w:pPr>
        <w:jc w:val="both"/>
        <w:spacing w:before="100" w:after="0"/>
        <w:ind w:start="720"/>
      </w:pPr>
      <w:r>
        <w:rPr/>
        <w:t>A</w:t>
        <w:t xml:space="preserve">.  </w:t>
      </w:r>
      <w:r>
        <w:rPr/>
      </w:r>
      <w:r>
        <w:t xml:space="preserve">A description of the nature, type and extent of the respondent's cognitive and functional abilities and limitations;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An evaluation of the respondent's mental and physical condition and, if appropriate, educational potential, adaptive behavior and social skills;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 prognosis for improvement, including with regard to the ability to manage the respondent's property and financial affairs if a limitation in that ability is alleged, and recommendation for the appropriate treatment, support or habilitation plan;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The date of the examination on which the report is based.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Right to decline.</w:t>
        <w:t xml:space="preserve"> </w:t>
      </w:r>
      <w:r>
        <w:t xml:space="preserve"> </w:t>
      </w:r>
      <w:r>
        <w:t xml:space="preserve">The respondent has the right to decline to participate in an evaluation ordered under </w:t>
      </w:r>
      <w:r>
        <w:t>subsection 1</w:t>
      </w:r>
      <w:r>
        <w:t xml:space="preserve">.  If the respondent declines to participate in an evaluation ordered under </w:t>
      </w:r>
      <w:r>
        <w:t>subsection 1</w:t>
      </w:r>
      <w:r>
        <w:t xml:space="preserve">, the petitioner may request an examination under the Maine Rules of Civil Procedure, Rule 35.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§93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§93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§5-508. Professional evaluation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§5-508. Professional evaluation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§5-508. PROFESSIONAL EVALUATION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