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4-204</w:t>
        <w:t xml:space="preserve">.  </w:t>
      </w:r>
      <w:r>
        <w:rPr>
          <w:b/>
        </w:rPr>
        <w:t xml:space="preserve">Proof of authority; bond</w:t>
      </w:r>
    </w:p>
    <w:p>
      <w:pPr>
        <w:jc w:val="both"/>
        <w:spacing w:before="100" w:after="100"/>
        <w:ind w:start="360"/>
        <w:ind w:firstLine="360"/>
      </w:pPr>
      <w:r>
        <w:rPr/>
      </w:r>
      <w:r>
        <w:rPr/>
      </w:r>
      <w:r>
        <w:t xml:space="preserve">If no local administration or application or petition for local administration is pending in this State, a domiciliary foreign personal representative may file with a court in this State in a county in which property belonging to the decedent is located authenticated copies of the foreign personal representative's appointment, of any official bond the foreign personal representative has given and a certificate, dated within 60 days, proving the foreign personal representative's current authority.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§4-204. Proof of authority;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§4-204. Proof of authority;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§4-204. PROOF OF AUTHORITY;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