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3-1201</w:t>
        <w:t xml:space="preserve">.  </w:t>
      </w:r>
      <w:r>
        <w:rPr>
          <w:b/>
        </w:rPr>
        <w:t xml:space="preserve">Collection of personal property by affidavit</w:t>
      </w:r>
    </w:p>
    <w:p>
      <w:pPr>
        <w:jc w:val="both"/>
        <w:spacing w:before="100" w:after="100"/>
        <w:ind w:start="360"/>
        <w:ind w:firstLine="360"/>
      </w:pPr>
      <w:r>
        <w:rPr>
          <w:b/>
        </w:rPr>
        <w:t>1</w:t>
        <w:t xml:space="preserve">.  </w:t>
      </w:r>
      <w:r>
        <w:rPr>
          <w:b/>
        </w:rPr>
        <w:t xml:space="preserve">Affidavit; duty to deliver property.</w:t>
        <w:t xml:space="preserve"> </w:t>
      </w:r>
      <w:r>
        <w:t xml:space="preserve"> </w:t>
      </w:r>
      <w:r>
        <w:t xml:space="preserve">Thirty days after the death of a decedent, any person indebted to the decedent or having possession of personal property or an instrument evidencing a debt, obligation, stock or chose in action belonging to the decedent shall make payment of the indebtedness or deliver the personal property or an instrument evidencing a debt, obligation, stock or chose in action to a person claiming to be the successor of the decedent upon being presented an affidavit made by or on behalf of the successor stating that:</w:t>
      </w:r>
    </w:p>
    <w:p>
      <w:pPr>
        <w:jc w:val="both"/>
        <w:spacing w:before="100" w:after="0"/>
        <w:ind w:start="720"/>
      </w:pPr>
      <w:r>
        <w:rPr/>
        <w:t>A</w:t>
        <w:t xml:space="preserve">.  </w:t>
      </w:r>
      <w:r>
        <w:rPr/>
      </w:r>
      <w:r>
        <w:t xml:space="preserve">The value of the entire estate, wherever located, less liens and encumbrances, does not exceed $40,000, adjusted for inflation pursuant to </w:t>
      </w:r>
      <w:r>
        <w:t>section 1‑108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76, §1 (AMD).]</w:t>
      </w:r>
    </w:p>
    <w:p>
      <w:pPr>
        <w:jc w:val="both"/>
        <w:spacing w:before="100" w:after="0"/>
        <w:ind w:start="720"/>
      </w:pPr>
      <w:r>
        <w:rPr/>
        <w:t>B</w:t>
        <w:t xml:space="preserve">.  </w:t>
      </w:r>
      <w:r>
        <w:rPr/>
      </w:r>
      <w:r>
        <w:t xml:space="preserve">Thirty days have elapsed since the death of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No application or petition for the appointment of a personal representative is pending or has been granted in any jurisdiction;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claiming successor is entitled to payment or delivery of the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76, §1 (AMD).]</w:t>
      </w:r>
    </w:p>
    <w:p>
      <w:pPr>
        <w:jc w:val="both"/>
        <w:spacing w:before="100" w:after="0"/>
        <w:ind w:start="360"/>
        <w:ind w:firstLine="360"/>
      </w:pPr>
      <w:r>
        <w:rPr>
          <w:b/>
        </w:rPr>
        <w:t>2</w:t>
        <w:t xml:space="preserve">.  </w:t>
      </w:r>
      <w:r>
        <w:rPr>
          <w:b/>
        </w:rPr>
        <w:t xml:space="preserve">Securities.</w:t>
        <w:t xml:space="preserve"> </w:t>
      </w:r>
      <w:r>
        <w:t xml:space="preserve"> </w:t>
      </w:r>
      <w:r>
        <w:t xml:space="preserve">A transfer agent of any security shall change the registered ownership on the books of a corporation from the decedent to the successor or successors upon the presentation of an affidavit as provided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Publication.</w:t>
        <w:t xml:space="preserve"> </w:t>
      </w:r>
      <w:r>
        <w:t xml:space="preserve"> </w:t>
      </w:r>
      <w:r>
        <w:t xml:space="preserve">A county probate court shall annually publish on the court's publicly accessible website the value described in </w:t>
      </w:r>
      <w:r>
        <w:t>subsection 1, paragraph A</w:t>
      </w:r>
      <w:r>
        <w:t xml:space="preserve">, including the adjustment for inflation.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2025, c. 76,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§3-1201. Collection of personal property by affidavit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§3-1201. Collection of personal property by affidavit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§3-1201. COLLECTION OF PERSONAL PROPERTY BY AFFIDAVIT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