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Scope</w:t>
      </w:r>
    </w:p>
    <w:p>
      <w:pPr>
        <w:jc w:val="both"/>
        <w:spacing w:before="100" w:after="100"/>
        <w:ind w:start="360"/>
        <w:ind w:firstLine="360"/>
      </w:pPr>
      <w:r>
        <w:rPr/>
      </w:r>
      <w:r>
        <w:rPr/>
      </w:r>
      <w:r>
        <w:t xml:space="preserve">In the absence of a finding of a contrary intention, the rules of construction in this Part control the construction of a governing instrument.  The rules of construction in this Part apply to a governing instrument of any type, except as the application of a particular section is limited by its terms to a specific type or types of provision or governing instrument.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§2-701.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