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2-515</w:t>
        <w:t xml:space="preserve">.  </w:t>
      </w:r>
      <w:r>
        <w:rPr>
          <w:b/>
        </w:rPr>
        <w:t xml:space="preserve">Duty of custodian of will; liability</w:t>
      </w:r>
    </w:p>
    <w:p>
      <w:pPr>
        <w:jc w:val="both"/>
        <w:spacing w:before="100" w:after="100"/>
        <w:ind w:start="360"/>
        <w:ind w:firstLine="360"/>
      </w:pPr>
      <w:r>
        <w:rPr/>
      </w:r>
      <w:r>
        <w:rPr/>
      </w:r>
      <w:r>
        <w:t xml:space="preserve">After the death of a testator, a person having custody of a will of the testator shall deliver it with reasonable promptness to a person able to secure its probate or, if no such person is known, to an appropriate court for filing and recording until probate is sought.  A person having custody of a will is not liable, to any person aggrieved, for failure to learn of the death of the testator of that will and the failure, therefore, to deliver that will as required.  A person who willfully fails to deliver a will or who willfully defaces or destroys any will of a deceased person is liable to any person aggrieved for the damages that may be sustained by such failure to deliver or by such defacement or destruction.  A person who willfully refuses or fails to deliver a will, or who defaces or destroys it, after being ordered by the court in a proceeding brought for the purpose of compelling delivery is subject to penalty for contempt of court.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§2-515. Duty of custodian of will;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§2-515. Duty of custodian of will;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§2-515. DUTY OF CUSTODIAN OF WILL;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