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2-509</w:t>
        <w:t xml:space="preserve">.  </w:t>
      </w:r>
      <w:r>
        <w:rPr>
          <w:b/>
        </w:rPr>
        <w:t xml:space="preserve">Incorporation by reference</w:t>
      </w:r>
    </w:p>
    <w:p>
      <w:pPr>
        <w:jc w:val="both"/>
        <w:spacing w:before="100" w:after="100"/>
        <w:ind w:start="360"/>
        <w:ind w:firstLine="360"/>
      </w:pPr>
      <w:r>
        <w:rPr/>
      </w:r>
      <w:r>
        <w:rPr/>
      </w:r>
      <w:r>
        <w:t xml:space="preserve">Any writing in existence when a will is executed may be incorporated by reference if the language of the will manifests this intent and describes the writing sufficiently to permit its identification.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§2-509. Incorporation by reference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§2-509. Incorporation by reference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§2-509. INCORPORATION BY REFERENCE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