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Records and certified copies; judicial supervision</w:t>
      </w:r>
    </w:p>
    <w:p>
      <w:pPr>
        <w:jc w:val="both"/>
        <w:spacing w:before="100" w:after="100"/>
        <w:ind w:start="360"/>
        <w:ind w:firstLine="360"/>
      </w:pPr>
      <w:r>
        <w:rPr/>
      </w:r>
      <w:r>
        <w:rPr/>
      </w:r>
      <w:r>
        <w:t xml:space="preserve">The register shall maintain records and files and provide copies of documents as provided in </w:t>
      </w:r>
      <w:r>
        <w:t>sections 1‑501</w:t>
      </w:r>
      <w:r>
        <w:t xml:space="preserve"> to </w:t>
      </w:r>
      <w:r>
        <w:t>1‑511</w:t>
      </w:r>
      <w:r>
        <w:t xml:space="preserve"> and further records and copies as the Supreme Judicial Court may by rule provide.  The register is subject to the supervision and authority of the judge of the court in which the register serves.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Records and certified copies; judicial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Records and certified copies; judicial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§1-305. RECORDS AND CERTIFIED COPIES; JUDICIAL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