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Subject matter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§1-302. SUBJECT MATTER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